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>
          <w:rFonts w:ascii="Lexend" w:cs="Lexend" w:eastAsia="Lexend" w:hAnsi="Lexend"/>
          <w:b w:val="1"/>
          <w:sz w:val="36"/>
          <w:szCs w:val="36"/>
        </w:rPr>
      </w:pPr>
      <w:r w:rsidDel="00000000" w:rsidR="00000000" w:rsidRPr="00000000">
        <w:rPr>
          <w:rFonts w:ascii="Lexend" w:cs="Lexend" w:eastAsia="Lexend" w:hAnsi="Lexend"/>
          <w:b w:val="1"/>
          <w:sz w:val="36"/>
          <w:szCs w:val="36"/>
          <w:rtl w:val="0"/>
        </w:rPr>
        <w:t xml:space="preserve">Why was the discovery of the Rosetta Stone so important?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685800</wp:posOffset>
            </wp:positionV>
            <wp:extent cx="5731200" cy="50800"/>
            <wp:effectExtent b="0" l="0" r="0" t="0"/>
            <wp:wrapNone/>
            <wp:docPr id="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508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Heading1"/>
        <w:spacing w:after="0" w:before="0" w:lineRule="auto"/>
        <w:rPr>
          <w:rFonts w:ascii="Lexend" w:cs="Lexend" w:eastAsia="Lexend" w:hAnsi="Lexend"/>
          <w:b w:val="1"/>
          <w:sz w:val="36"/>
          <w:szCs w:val="36"/>
        </w:rPr>
      </w:pPr>
      <w:bookmarkStart w:colFirst="0" w:colLast="0" w:name="_heading=h.c1pnm0sorofi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rPr>
          <w:rFonts w:ascii="Lexend" w:cs="Lexend" w:eastAsia="Lexend" w:hAnsi="Lexend"/>
          <w:b w:val="1"/>
          <w:sz w:val="32"/>
          <w:szCs w:val="32"/>
        </w:rPr>
      </w:pPr>
      <w:r w:rsidDel="00000000" w:rsidR="00000000" w:rsidRPr="00000000">
        <w:rPr>
          <w:rFonts w:ascii="Lexend" w:cs="Lexend" w:eastAsia="Lexend" w:hAnsi="Lexend"/>
          <w:b w:val="1"/>
          <w:sz w:val="32"/>
          <w:szCs w:val="32"/>
          <w:rtl w:val="0"/>
        </w:rPr>
        <w:t xml:space="preserve">Task A: The discovery of the Rosetta Stone</w:t>
      </w:r>
    </w:p>
    <w:p w:rsidR="00000000" w:rsidDel="00000000" w:rsidP="00000000" w:rsidRDefault="00000000" w:rsidRPr="00000000" w14:paraId="00000005">
      <w:pPr>
        <w:spacing w:line="276" w:lineRule="auto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Create a simple timeline showing the year 1799 and label it as the discovery of the Rosetta Stone. Draw a small map marking Rosetta's location in Egypt.</w:t>
      </w:r>
    </w:p>
    <w:p w:rsidR="00000000" w:rsidDel="00000000" w:rsidP="00000000" w:rsidRDefault="00000000" w:rsidRPr="00000000" w14:paraId="00000006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rPr>
          <w:rFonts w:ascii="Lexend" w:cs="Lexend" w:eastAsia="Lexend" w:hAnsi="Lexend"/>
          <w:b w:val="1"/>
          <w:sz w:val="32"/>
          <w:szCs w:val="32"/>
        </w:rPr>
      </w:pPr>
      <w:r w:rsidDel="00000000" w:rsidR="00000000" w:rsidRPr="00000000">
        <w:rPr>
          <w:rFonts w:ascii="Lexend" w:cs="Lexend" w:eastAsia="Lexend" w:hAnsi="Lexend"/>
          <w:b w:val="1"/>
          <w:sz w:val="32"/>
          <w:szCs w:val="32"/>
          <w:rtl w:val="0"/>
        </w:rPr>
        <w:t xml:space="preserve">Task B: Deciphering the hieroglyphics</w:t>
      </w:r>
    </w:p>
    <w:p w:rsidR="00000000" w:rsidDel="00000000" w:rsidP="00000000" w:rsidRDefault="00000000" w:rsidRPr="00000000" w14:paraId="00000010">
      <w:pPr>
        <w:spacing w:line="276" w:lineRule="auto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Match examples of hieroglyphic symbols with their corresponding sounds using a chart provided.</w:t>
      </w:r>
    </w:p>
    <w:p w:rsidR="00000000" w:rsidDel="00000000" w:rsidP="00000000" w:rsidRDefault="00000000" w:rsidRPr="00000000" w14:paraId="00000011">
      <w:pPr>
        <w:spacing w:line="276" w:lineRule="auto"/>
        <w:rPr>
          <w:rFonts w:ascii="Lexend" w:cs="Lexend" w:eastAsia="Lexend" w:hAnsi="Lexend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>
          <w:rFonts w:ascii="Lexend" w:cs="Lexend" w:eastAsia="Lexend" w:hAnsi="Lexend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rPr>
          <w:rFonts w:ascii="Lexend" w:cs="Lexend" w:eastAsia="Lexend" w:hAnsi="Lexend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rPr>
          <w:rFonts w:ascii="Lexend" w:cs="Lexend" w:eastAsia="Lexend" w:hAnsi="Lexend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rPr>
          <w:rFonts w:ascii="Lexend" w:cs="Lexend" w:eastAsia="Lexend" w:hAnsi="Lexend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rPr>
          <w:rFonts w:ascii="Lexend" w:cs="Lexend" w:eastAsia="Lexend" w:hAnsi="Lexend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rPr>
          <w:rFonts w:ascii="Lexend" w:cs="Lexend" w:eastAsia="Lexend" w:hAnsi="Lexend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rPr>
          <w:rFonts w:ascii="Lexend" w:cs="Lexend" w:eastAsia="Lexend" w:hAnsi="Lexend"/>
          <w:b w:val="1"/>
          <w:sz w:val="32"/>
          <w:szCs w:val="32"/>
        </w:rPr>
      </w:pPr>
      <w:r w:rsidDel="00000000" w:rsidR="00000000" w:rsidRPr="00000000">
        <w:rPr>
          <w:rFonts w:ascii="Lexend" w:cs="Lexend" w:eastAsia="Lexend" w:hAnsi="Lexend"/>
          <w:b w:val="1"/>
          <w:sz w:val="32"/>
          <w:szCs w:val="32"/>
          <w:rtl w:val="0"/>
        </w:rPr>
        <w:t xml:space="preserve">Task C: The impact on understanding ancient Egypt</w:t>
      </w:r>
    </w:p>
    <w:p w:rsidR="00000000" w:rsidDel="00000000" w:rsidP="00000000" w:rsidRDefault="00000000" w:rsidRPr="00000000" w14:paraId="0000001A">
      <w:pPr>
        <w:spacing w:line="276" w:lineRule="auto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Write a short paragraph describing how deciphering hieroglyphics changed our understanding of ancient Egyptian culture. Include examples such as the Book of the Dead and the Tale of Sinuhe.</w:t>
      </w:r>
    </w:p>
    <w:p w:rsidR="00000000" w:rsidDel="00000000" w:rsidP="00000000" w:rsidRDefault="00000000" w:rsidRPr="00000000" w14:paraId="0000001B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footerReference r:id="rId11" w:type="first"/>
      <w:pgSz w:h="16834" w:w="11909" w:orient="portrait"/>
      <w:pgMar w:bottom="1700.7874015748032" w:top="720.0000000000001" w:left="1133.8582677165355" w:right="1410.4724409448836" w:header="453.5433070866142" w:footer="453.5433070866142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Lexend SemiBold">
    <w:embedRegular w:fontKey="{00000000-0000-0000-0000-000000000000}" r:id="rId1" w:subsetted="0"/>
    <w:embedBold w:fontKey="{00000000-0000-0000-0000-000000000000}" r:id="rId2" w:subsetted="0"/>
  </w:font>
  <w:font w:name="Lexend Light">
    <w:embedRegular w:fontKey="{00000000-0000-0000-0000-000000000000}" r:id="rId3" w:subsetted="0"/>
    <w:embedBold w:fontKey="{00000000-0000-0000-0000-000000000000}" r:id="rId4" w:subsetted="0"/>
  </w:font>
  <w:font w:name="Lexen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widowControl w:val="0"/>
      <w:spacing w:before="240" w:line="276" w:lineRule="auto"/>
      <w:ind w:right="1557.9921259842524"/>
      <w:rPr>
        <w:rFonts w:ascii="Lexend" w:cs="Lexend" w:eastAsia="Lexend" w:hAnsi="Lexend"/>
        <w:b w:val="1"/>
        <w:color w:val="575756"/>
        <w:sz w:val="18"/>
        <w:szCs w:val="18"/>
      </w:rPr>
    </w:pPr>
    <w:r w:rsidDel="00000000" w:rsidR="00000000" w:rsidRPr="00000000">
      <w:rPr>
        <w:color w:val="575756"/>
        <w:sz w:val="18"/>
        <w:szCs w:val="18"/>
        <w:rtl w:val="0"/>
      </w:rPr>
      <w:t xml:space="preserve">© Oak National Academy 2024. Licensed on the</w:t>
    </w:r>
    <w:hyperlink r:id="rId1">
      <w:r w:rsidDel="00000000" w:rsidR="00000000" w:rsidRPr="00000000">
        <w:rPr>
          <w:color w:val="575756"/>
          <w:sz w:val="18"/>
          <w:szCs w:val="18"/>
          <w:rtl w:val="0"/>
        </w:rPr>
        <w:t xml:space="preserve"> </w:t>
      </w:r>
    </w:hyperlink>
    <w:hyperlink r:id="rId2">
      <w:r w:rsidDel="00000000" w:rsidR="00000000" w:rsidRPr="00000000">
        <w:rPr>
          <w:color w:val="1155cc"/>
          <w:sz w:val="18"/>
          <w:szCs w:val="18"/>
          <w:u w:val="single"/>
          <w:rtl w:val="0"/>
        </w:rPr>
        <w:t xml:space="preserve">Open Government Licence v3.0</w:t>
      </w:r>
    </w:hyperlink>
    <w:r w:rsidDel="00000000" w:rsidR="00000000" w:rsidRPr="00000000">
      <w:rPr>
        <w:color w:val="575756"/>
        <w:sz w:val="18"/>
        <w:szCs w:val="18"/>
        <w:rtl w:val="0"/>
      </w:rPr>
      <w:t xml:space="preserve">, except where otherwise stated. See</w:t>
    </w:r>
    <w:hyperlink r:id="rId3">
      <w:r w:rsidDel="00000000" w:rsidR="00000000" w:rsidRPr="00000000">
        <w:rPr>
          <w:color w:val="575756"/>
          <w:sz w:val="18"/>
          <w:szCs w:val="18"/>
          <w:rtl w:val="0"/>
        </w:rPr>
        <w:t xml:space="preserve"> </w:t>
      </w:r>
    </w:hyperlink>
    <w:hyperlink r:id="rId4">
      <w:r w:rsidDel="00000000" w:rsidR="00000000" w:rsidRPr="00000000">
        <w:rPr>
          <w:color w:val="1155cc"/>
          <w:sz w:val="18"/>
          <w:szCs w:val="18"/>
          <w:u w:val="single"/>
          <w:rtl w:val="0"/>
        </w:rPr>
        <w:t xml:space="preserve">Oak’s T&amp;C's</w:t>
      </w:r>
    </w:hyperlink>
    <w:r w:rsidDel="00000000" w:rsidR="00000000" w:rsidRPr="00000000">
      <w:rPr>
        <w:color w:val="575756"/>
        <w:sz w:val="18"/>
        <w:szCs w:val="18"/>
        <w:rtl w:val="0"/>
      </w:rPr>
      <w:t xml:space="preserve">. Created with</w:t>
    </w:r>
    <w:hyperlink r:id="rId5">
      <w:r w:rsidDel="00000000" w:rsidR="00000000" w:rsidRPr="00000000">
        <w:rPr>
          <w:color w:val="575756"/>
          <w:sz w:val="18"/>
          <w:szCs w:val="18"/>
          <w:rtl w:val="0"/>
        </w:rPr>
        <w:t xml:space="preserve"> </w:t>
      </w:r>
    </w:hyperlink>
    <w:hyperlink r:id="rId6">
      <w:r w:rsidDel="00000000" w:rsidR="00000000" w:rsidRPr="00000000">
        <w:rPr>
          <w:color w:val="1155cc"/>
          <w:sz w:val="18"/>
          <w:szCs w:val="18"/>
          <w:u w:val="single"/>
          <w:rtl w:val="0"/>
        </w:rPr>
        <w:t xml:space="preserve">Aila</w:t>
      </w:r>
    </w:hyperlink>
    <w:r w:rsidDel="00000000" w:rsidR="00000000" w:rsidRPr="00000000">
      <w:rPr>
        <w:color w:val="575756"/>
        <w:sz w:val="18"/>
        <w:szCs w:val="18"/>
        <w:rtl w:val="0"/>
      </w:rPr>
      <w:t xml:space="preserve">, Oak’s AI lesson assistant. Check content carefully before use.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5467350</wp:posOffset>
          </wp:positionH>
          <wp:positionV relativeFrom="paragraph">
            <wp:posOffset>114300</wp:posOffset>
          </wp:positionV>
          <wp:extent cx="334064" cy="450850"/>
          <wp:effectExtent b="0" l="0" r="0" t="0"/>
          <wp:wrapNone/>
          <wp:docPr id="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7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34064" cy="4508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C">
    <w:pPr>
      <w:widowControl w:val="0"/>
      <w:spacing w:line="276" w:lineRule="auto"/>
      <w:ind w:right="282.4015748031502"/>
      <w:jc w:val="right"/>
      <w:rPr>
        <w:rFonts w:ascii="Lexend" w:cs="Lexend" w:eastAsia="Lexend" w:hAnsi="Lexend"/>
        <w:color w:val="575756"/>
        <w:sz w:val="18"/>
        <w:szCs w:val="18"/>
      </w:rPr>
    </w:pPr>
    <w:r w:rsidDel="00000000" w:rsidR="00000000" w:rsidRPr="00000000">
      <w:rPr>
        <w:color w:val="57575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widowControl w:val="0"/>
      <w:spacing w:before="240" w:line="276" w:lineRule="auto"/>
      <w:ind w:right="1557.9921259842524"/>
      <w:rPr>
        <w:rFonts w:ascii="Lexend" w:cs="Lexend" w:eastAsia="Lexend" w:hAnsi="Lexend"/>
        <w:b w:val="1"/>
        <w:color w:val="575756"/>
        <w:sz w:val="18"/>
        <w:szCs w:val="18"/>
      </w:rPr>
    </w:pPr>
    <w:r w:rsidDel="00000000" w:rsidR="00000000" w:rsidRPr="00000000">
      <w:rPr>
        <w:color w:val="575756"/>
        <w:sz w:val="18"/>
        <w:szCs w:val="18"/>
        <w:rtl w:val="0"/>
      </w:rPr>
      <w:t xml:space="preserve">© Oak National Academy 2025. Licensed on the</w:t>
    </w:r>
    <w:hyperlink r:id="rId1">
      <w:r w:rsidDel="00000000" w:rsidR="00000000" w:rsidRPr="00000000">
        <w:rPr>
          <w:color w:val="575756"/>
          <w:sz w:val="18"/>
          <w:szCs w:val="18"/>
          <w:rtl w:val="0"/>
        </w:rPr>
        <w:t xml:space="preserve"> </w:t>
      </w:r>
    </w:hyperlink>
    <w:hyperlink r:id="rId2">
      <w:r w:rsidDel="00000000" w:rsidR="00000000" w:rsidRPr="00000000">
        <w:rPr>
          <w:color w:val="1155cc"/>
          <w:sz w:val="18"/>
          <w:szCs w:val="18"/>
          <w:u w:val="single"/>
          <w:rtl w:val="0"/>
        </w:rPr>
        <w:t xml:space="preserve">Open Government Licence v3.0</w:t>
      </w:r>
    </w:hyperlink>
    <w:r w:rsidDel="00000000" w:rsidR="00000000" w:rsidRPr="00000000">
      <w:rPr>
        <w:color w:val="575756"/>
        <w:sz w:val="18"/>
        <w:szCs w:val="18"/>
        <w:rtl w:val="0"/>
      </w:rPr>
      <w:t xml:space="preserve">, except where otherwise stated. See</w:t>
    </w:r>
    <w:hyperlink r:id="rId3">
      <w:r w:rsidDel="00000000" w:rsidR="00000000" w:rsidRPr="00000000">
        <w:rPr>
          <w:color w:val="575756"/>
          <w:sz w:val="18"/>
          <w:szCs w:val="18"/>
          <w:rtl w:val="0"/>
        </w:rPr>
        <w:t xml:space="preserve"> </w:t>
      </w:r>
    </w:hyperlink>
    <w:hyperlink r:id="rId4">
      <w:r w:rsidDel="00000000" w:rsidR="00000000" w:rsidRPr="00000000">
        <w:rPr>
          <w:color w:val="1155cc"/>
          <w:sz w:val="18"/>
          <w:szCs w:val="18"/>
          <w:u w:val="single"/>
          <w:rtl w:val="0"/>
        </w:rPr>
        <w:t xml:space="preserve">Oak’s T&amp;C's</w:t>
      </w:r>
    </w:hyperlink>
    <w:r w:rsidDel="00000000" w:rsidR="00000000" w:rsidRPr="00000000">
      <w:rPr>
        <w:color w:val="575756"/>
        <w:sz w:val="18"/>
        <w:szCs w:val="18"/>
        <w:rtl w:val="0"/>
      </w:rPr>
      <w:t xml:space="preserve">. Created with</w:t>
    </w:r>
    <w:hyperlink r:id="rId5">
      <w:r w:rsidDel="00000000" w:rsidR="00000000" w:rsidRPr="00000000">
        <w:rPr>
          <w:color w:val="575756"/>
          <w:sz w:val="18"/>
          <w:szCs w:val="18"/>
          <w:rtl w:val="0"/>
        </w:rPr>
        <w:t xml:space="preserve"> </w:t>
      </w:r>
    </w:hyperlink>
    <w:hyperlink r:id="rId6">
      <w:r w:rsidDel="00000000" w:rsidR="00000000" w:rsidRPr="00000000">
        <w:rPr>
          <w:color w:val="1155cc"/>
          <w:sz w:val="18"/>
          <w:szCs w:val="18"/>
          <w:u w:val="single"/>
          <w:rtl w:val="0"/>
        </w:rPr>
        <w:t xml:space="preserve">Aila</w:t>
      </w:r>
    </w:hyperlink>
    <w:r w:rsidDel="00000000" w:rsidR="00000000" w:rsidRPr="00000000">
      <w:rPr>
        <w:color w:val="575756"/>
        <w:sz w:val="18"/>
        <w:szCs w:val="18"/>
        <w:rtl w:val="0"/>
      </w:rPr>
      <w:t xml:space="preserve">, Oak’s AI lesson assistant. Check content carefully before use.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5944350</wp:posOffset>
          </wp:positionH>
          <wp:positionV relativeFrom="paragraph">
            <wp:posOffset>114300</wp:posOffset>
          </wp:positionV>
          <wp:extent cx="334064" cy="450850"/>
          <wp:effectExtent b="0" l="0" r="0" t="0"/>
          <wp:wrapNone/>
          <wp:docPr id="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7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34064" cy="4508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E">
    <w:pPr>
      <w:widowControl w:val="0"/>
      <w:spacing w:line="276" w:lineRule="auto"/>
      <w:ind w:right="-277.7952755905511"/>
      <w:jc w:val="right"/>
      <w:rPr>
        <w:rFonts w:ascii="Lexend" w:cs="Lexend" w:eastAsia="Lexend" w:hAnsi="Lexend"/>
        <w:color w:val="575756"/>
        <w:sz w:val="18"/>
        <w:szCs w:val="18"/>
      </w:rPr>
    </w:pPr>
    <w:r w:rsidDel="00000000" w:rsidR="00000000" w:rsidRPr="00000000">
      <w:rPr>
        <w:color w:val="57575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line="276" w:lineRule="auto"/>
      <w:ind w:right="-142.7952755905511"/>
      <w:rPr>
        <w:rFonts w:ascii="Lexend" w:cs="Lexend" w:eastAsia="Lexend" w:hAnsi="Lexend"/>
        <w:b w:val="1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spacing w:line="276" w:lineRule="auto"/>
      <w:ind w:right="-142.7952755905511"/>
      <w:rPr>
        <w:rFonts w:ascii="Lexend" w:cs="Lexend" w:eastAsia="Lexend" w:hAnsi="Lexend"/>
        <w:b w:val="1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spacing w:line="276" w:lineRule="auto"/>
      <w:ind w:right="-142.7952755905511"/>
      <w:rPr>
        <w:rFonts w:ascii="Lexend" w:cs="Lexend" w:eastAsia="Lexend" w:hAnsi="Lexend"/>
        <w:b w:val="1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4400550</wp:posOffset>
          </wp:positionH>
          <wp:positionV relativeFrom="paragraph">
            <wp:posOffset>104778</wp:posOffset>
          </wp:positionV>
          <wp:extent cx="490232" cy="523875"/>
          <wp:effectExtent b="0" l="0" r="0" t="0"/>
          <wp:wrapNone/>
          <wp:docPr id="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90232" cy="52387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9">
    <w:pPr>
      <w:spacing w:line="276" w:lineRule="auto"/>
      <w:ind w:right="-142.7952755905511"/>
      <w:rPr>
        <w:rFonts w:ascii="Lexend" w:cs="Lexend" w:eastAsia="Lexend" w:hAnsi="Lexend"/>
        <w:b w:val="1"/>
      </w:rPr>
    </w:pPr>
    <w:r w:rsidDel="00000000" w:rsidR="00000000" w:rsidRPr="00000000">
      <w:rPr>
        <w:rFonts w:ascii="Lexend" w:cs="Lexend" w:eastAsia="Lexend" w:hAnsi="Lexend"/>
        <w:b w:val="1"/>
        <w:rtl w:val="0"/>
      </w:rPr>
      <w:t xml:space="preserve">Name:</w:t>
      <w:tab/>
      <w:t xml:space="preserve">             </w:t>
      <w:tab/>
      <w:tab/>
      <w:tab/>
      <w:tab/>
      <w:tab/>
      <w:t xml:space="preserve"> </w:t>
      <w:tab/>
      <w:tab/>
      <w:tab/>
      <w:t xml:space="preserve">Worksheet</w:t>
    </w:r>
  </w:p>
  <w:p w:rsidR="00000000" w:rsidDel="00000000" w:rsidP="00000000" w:rsidRDefault="00000000" w:rsidRPr="00000000" w14:paraId="0000002A">
    <w:pPr>
      <w:jc w:val="righ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exend Light" w:cs="Lexend Light" w:eastAsia="Lexend Light" w:hAnsi="Lexend Light"/>
        <w:sz w:val="24"/>
        <w:szCs w:val="24"/>
        <w:lang w:val="en_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360" w:before="240" w:lineRule="auto"/>
    </w:pPr>
    <w:rPr>
      <w:rFonts w:ascii="Lexend SemiBold" w:cs="Lexend SemiBold" w:eastAsia="Lexend SemiBold" w:hAnsi="Lexend SemiBold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before="320" w:lineRule="auto"/>
    </w:pPr>
    <w:rPr>
      <w:rFonts w:ascii="Lexend SemiBold" w:cs="Lexend SemiBold" w:eastAsia="Lexend SemiBold" w:hAnsi="Lexend SemiBold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before="320" w:lineRule="auto"/>
    </w:pPr>
    <w:rPr>
      <w:rFonts w:ascii="Lexend SemiBold" w:cs="Lexend SemiBold" w:eastAsia="Lexend SemiBold" w:hAnsi="Lexend SemiBold"/>
    </w:rPr>
  </w:style>
  <w:style w:type="paragraph" w:styleId="Heading4">
    <w:name w:val="heading 4"/>
    <w:basedOn w:val="Normal"/>
    <w:next w:val="Normal"/>
    <w:pPr>
      <w:keepNext w:val="1"/>
      <w:keepLines w:val="1"/>
      <w:spacing w:before="320" w:lineRule="auto"/>
    </w:pPr>
    <w:rPr>
      <w:rFonts w:ascii="Lexend SemiBold" w:cs="Lexend SemiBold" w:eastAsia="Lexend SemiBold" w:hAnsi="Lexend SemiBold"/>
    </w:rPr>
  </w:style>
  <w:style w:type="paragraph" w:styleId="Heading5">
    <w:name w:val="heading 5"/>
    <w:basedOn w:val="Normal"/>
    <w:next w:val="Normal"/>
    <w:pPr>
      <w:keepNext w:val="1"/>
      <w:keepLines w:val="1"/>
      <w:spacing w:after="320" w:before="320" w:lineRule="auto"/>
    </w:pPr>
    <w:rPr>
      <w:sz w:val="32"/>
      <w:szCs w:val="3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320" w:lineRule="auto"/>
    </w:pPr>
    <w:rPr>
      <w:rFonts w:ascii="Lexend SemiBold" w:cs="Lexend SemiBold" w:eastAsia="Lexend SemiBold" w:hAnsi="Lexend SemiBold"/>
      <w:sz w:val="90"/>
      <w:szCs w:val="90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Subtitle">
    <w:name w:val="Subtitle"/>
    <w:basedOn w:val="Normal"/>
    <w:next w:val="Normal"/>
    <w:pPr>
      <w:keepNext w:val="1"/>
      <w:keepLines w:val="1"/>
    </w:pPr>
    <w:rPr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exendSemiBold-regular.ttf"/><Relationship Id="rId2" Type="http://schemas.openxmlformats.org/officeDocument/2006/relationships/font" Target="fonts/LexendSemiBold-bold.ttf"/><Relationship Id="rId3" Type="http://schemas.openxmlformats.org/officeDocument/2006/relationships/font" Target="fonts/LexendLight-regular.ttf"/><Relationship Id="rId4" Type="http://schemas.openxmlformats.org/officeDocument/2006/relationships/font" Target="fonts/LexendLight-bold.ttf"/><Relationship Id="rId5" Type="http://schemas.openxmlformats.org/officeDocument/2006/relationships/font" Target="fonts/Lexend-regular.ttf"/><Relationship Id="rId6" Type="http://schemas.openxmlformats.org/officeDocument/2006/relationships/font" Target="fonts/Lexend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nationalarchives.gov.uk/doc/open-government-licence/version/3/" TargetMode="External"/><Relationship Id="rId2" Type="http://schemas.openxmlformats.org/officeDocument/2006/relationships/hyperlink" Target="https://www.nationalarchives.gov.uk/doc/open-government-licence/version/3/" TargetMode="External"/><Relationship Id="rId3" Type="http://schemas.openxmlformats.org/officeDocument/2006/relationships/hyperlink" Target="https://www.thenational.academy/legal/terms-and-conditions" TargetMode="External"/><Relationship Id="rId4" Type="http://schemas.openxmlformats.org/officeDocument/2006/relationships/hyperlink" Target="https://www.thenational.academy/legal/terms-and-conditions" TargetMode="External"/><Relationship Id="rId5" Type="http://schemas.openxmlformats.org/officeDocument/2006/relationships/hyperlink" Target="https://labs.thenational.academy/aila" TargetMode="External"/><Relationship Id="rId6" Type="http://schemas.openxmlformats.org/officeDocument/2006/relationships/hyperlink" Target="https://labs.thenational.academy/aila" TargetMode="External"/><Relationship Id="rId7" Type="http://schemas.openxmlformats.org/officeDocument/2006/relationships/image" Target="media/image2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nationalarchives.gov.uk/doc/open-government-licence/version/3/" TargetMode="External"/><Relationship Id="rId2" Type="http://schemas.openxmlformats.org/officeDocument/2006/relationships/hyperlink" Target="https://www.nationalarchives.gov.uk/doc/open-government-licence/version/3/" TargetMode="External"/><Relationship Id="rId3" Type="http://schemas.openxmlformats.org/officeDocument/2006/relationships/hyperlink" Target="https://www.thenational.academy/legal/terms-and-conditions" TargetMode="External"/><Relationship Id="rId4" Type="http://schemas.openxmlformats.org/officeDocument/2006/relationships/hyperlink" Target="https://www.thenational.academy/legal/terms-and-conditions" TargetMode="External"/><Relationship Id="rId5" Type="http://schemas.openxmlformats.org/officeDocument/2006/relationships/hyperlink" Target="https://labs.thenational.academy/aila" TargetMode="External"/><Relationship Id="rId6" Type="http://schemas.openxmlformats.org/officeDocument/2006/relationships/hyperlink" Target="https://labs.thenational.academy/aila" TargetMode="External"/><Relationship Id="rId7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LJpFXQiEoF07HzpmcNV94Wqcgg==">CgMxLjAyDmguYzFwbm0wc29yb2ZpOAByITFLRmEwWnkxczNoNGVsU3Zac1dvVGpXeHRMZFJmcVpRaQ==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